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"/>
          <w:tab w:val="left" w:pos="1080"/>
        </w:tabs>
        <w:spacing w:after="0" w:line="240" w:lineRule="auto"/>
        <w:ind w:left="2880" w:hanging="288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080" w:hanging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Forma del producto: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  <w:tab/>
        <w:t xml:space="preserve">Revestimiento arquitectónico de aluminio con acabados de imitación de madera en polvo </w:t>
        <w:tab/>
        <w:t xml:space="preserve">  </w:t>
        <w:tab/>
        <w:tab/>
        <w:tab/>
      </w:r>
    </w:p>
    <w:p w:rsidR="00000000" w:rsidDel="00000000" w:rsidP="00000000" w:rsidRDefault="00000000" w:rsidRPr="00000000" w14:paraId="00000006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Nombre del producto: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  <w:tab/>
        <w:t xml:space="preserve">Sistema de planchas</w:t>
      </w:r>
    </w:p>
    <w:p w:rsidR="00000000" w:rsidDel="00000000" w:rsidP="00000000" w:rsidRDefault="00000000" w:rsidRPr="00000000" w14:paraId="00000007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Sinónimos: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  <w:tab/>
        <w:t xml:space="preserve">  </w:t>
        <w:tab/>
        <w:t xml:space="preserve">Panel de aluminio</w:t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080" w:hanging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Uso previsto: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Diseñado para aplicaciones de revestimiento para brindar un sistema de pared con pantallas</w:t>
      </w:r>
    </w:p>
    <w:p w:rsidR="00000000" w:rsidDel="00000000" w:rsidP="00000000" w:rsidRDefault="00000000" w:rsidRPr="00000000" w14:paraId="0000000A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080" w:hanging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Responsable: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AL13</w:t>
      </w:r>
      <w:r w:rsidDel="00000000" w:rsidR="00000000" w:rsidRPr="00000000">
        <w:rPr>
          <w:rFonts w:ascii="Helvetica Neue" w:cs="Helvetica Neue" w:eastAsia="Helvetica Neue" w:hAnsi="Helvetica Neue"/>
          <w:vertAlign w:val="sub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Architectural Systems</w:t>
      </w:r>
    </w:p>
    <w:p w:rsidR="00000000" w:rsidDel="00000000" w:rsidP="00000000" w:rsidRDefault="00000000" w:rsidRPr="00000000" w14:paraId="0000000C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1278 Cliveden Avenue Delta</w:t>
      </w:r>
    </w:p>
    <w:p w:rsidR="00000000" w:rsidDel="00000000" w:rsidP="00000000" w:rsidRDefault="00000000" w:rsidRPr="00000000" w14:paraId="0000000D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BC, Canadá V3M 6G4</w:t>
      </w:r>
    </w:p>
    <w:p w:rsidR="00000000" w:rsidDel="00000000" w:rsidP="00000000" w:rsidRDefault="00000000" w:rsidRPr="00000000" w14:paraId="0000000E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080" w:hanging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Número de emergencia: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1-800-535-5053</w:t>
      </w:r>
    </w:p>
    <w:p w:rsidR="00000000" w:rsidDel="00000000" w:rsidP="00000000" w:rsidRDefault="00000000" w:rsidRPr="00000000" w14:paraId="00000010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60"/>
        </w:tabs>
        <w:spacing w:after="0" w:line="240" w:lineRule="auto"/>
        <w:ind w:left="1080" w:firstLine="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60"/>
        </w:tabs>
        <w:spacing w:after="0" w:line="240" w:lineRule="auto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Gadugi" w:cs="Gadugi" w:eastAsia="Gadugi" w:hAnsi="Gadug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Helvetica Neue" w:cs="Helvetica Neue" w:eastAsia="Helvetica Neue" w:hAnsi="Helvetica Neue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2.1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Clasificación: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Producto terminado de aluminio. </w:t>
      </w:r>
    </w:p>
    <w:p w:rsidR="00000000" w:rsidDel="00000000" w:rsidP="00000000" w:rsidRDefault="00000000" w:rsidRPr="00000000" w14:paraId="0000001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0"/>
          <w:tab w:val="left" w:pos="1080"/>
        </w:tabs>
        <w:spacing w:after="0" w:line="240" w:lineRule="auto"/>
        <w:ind w:left="2880" w:hanging="288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Peligro:</w:t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 está clasificado como material peligroso cuando se manipula o bajo uso normal.  </w:t>
      </w:r>
    </w:p>
    <w:p w:rsidR="00000000" w:rsidDel="00000000" w:rsidP="00000000" w:rsidRDefault="00000000" w:rsidRPr="00000000" w14:paraId="0000001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2.2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Etiquetado: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No aplica</w:t>
      </w:r>
    </w:p>
    <w:p w:rsidR="00000000" w:rsidDel="00000000" w:rsidP="00000000" w:rsidRDefault="00000000" w:rsidRPr="00000000" w14:paraId="0000001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2.3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Otros peligros: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ADVERTENCIA - el aserrado, el amolado y el mecanizado pueden provocar la emisión de polvo y/o humos. Estos humos pueden ser nocivos si se inhalan y pueden irritar los ojos, la piel y las vías respiratorias. El material fundido puede causar quemaduras térmicas.</w:t>
      </w:r>
    </w:p>
    <w:p w:rsidR="00000000" w:rsidDel="00000000" w:rsidP="00000000" w:rsidRDefault="00000000" w:rsidRPr="00000000" w14:paraId="0000001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2.4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Toxicidad aguda desconocida (SGA-EE.UU.):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No hay información en este momento.</w:t>
      </w:r>
    </w:p>
    <w:p w:rsidR="00000000" w:rsidDel="00000000" w:rsidP="00000000" w:rsidRDefault="00000000" w:rsidRPr="00000000" w14:paraId="0000001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3.1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Sustancia: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No aplica</w:t>
      </w:r>
    </w:p>
    <w:p w:rsidR="00000000" w:rsidDel="00000000" w:rsidP="00000000" w:rsidRDefault="00000000" w:rsidRPr="00000000" w14:paraId="0000002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3.2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Mezcla:</w:t>
      </w:r>
    </w:p>
    <w:tbl>
      <w:tblPr>
        <w:tblStyle w:val="Table1"/>
        <w:tblW w:w="8275.0" w:type="dxa"/>
        <w:jc w:val="left"/>
        <w:tblInd w:w="1075.0" w:type="dxa"/>
        <w:tblLayout w:type="fixed"/>
        <w:tblLook w:val="0400"/>
      </w:tblPr>
      <w:tblGrid>
        <w:gridCol w:w="3240"/>
        <w:gridCol w:w="2610"/>
        <w:gridCol w:w="2425"/>
        <w:tblGridChange w:id="0">
          <w:tblGrid>
            <w:gridCol w:w="3240"/>
            <w:gridCol w:w="2610"/>
            <w:gridCol w:w="242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Química/Material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Número 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Peso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Aluminio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7429-90-5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&gt;95.0%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Cromo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7440-47-3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0.0 – 0.35%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Hierro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65996-67-0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&lt;0.75%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Magnesio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7439-95-4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0.0 - 1.6%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Manganeso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7439-96-5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rtl w:val="0"/>
              </w:rPr>
              <w:t xml:space="preserve">- 1.6%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4.1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General:</w:t>
        <w:tab/>
        <w:tab/>
        <w:tab/>
      </w:r>
    </w:p>
    <w:p w:rsidR="00000000" w:rsidDel="00000000" w:rsidP="00000000" w:rsidRDefault="00000000" w:rsidRPr="00000000" w14:paraId="0000003C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Cuando el producto se utiliza tal y como está diseñado, no deberían ser necesarios los primeros auxilios. </w:t>
      </w:r>
    </w:p>
    <w:p w:rsidR="00000000" w:rsidDel="00000000" w:rsidP="00000000" w:rsidRDefault="00000000" w:rsidRPr="00000000" w14:paraId="0000003D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polvo puede ser liberado por el aserrado, amolado o mecanizado del producto y sólo debe realizarse bajo la ventilación y la protección personal adecuadas.</w:t>
      </w:r>
    </w:p>
    <w:p w:rsidR="00000000" w:rsidDel="00000000" w:rsidP="00000000" w:rsidRDefault="00000000" w:rsidRPr="00000000" w14:paraId="0000003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Tras la inhalación: </w:t>
        <w:tab/>
        <w:tab/>
      </w:r>
    </w:p>
    <w:p w:rsidR="00000000" w:rsidDel="00000000" w:rsidP="00000000" w:rsidRDefault="00000000" w:rsidRPr="00000000" w14:paraId="0000003F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 es probable que se inhale tal y como está diseñado, a menos que el material se mecanice, se suelde o se funda. La exposición de corta duración a los humos de soldadura puede provocar molestias.</w:t>
      </w:r>
    </w:p>
    <w:p w:rsidR="00000000" w:rsidDel="00000000" w:rsidP="00000000" w:rsidRDefault="00000000" w:rsidRPr="00000000" w14:paraId="0000004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Tras el contacto con la piel: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el caso de que se produzca una irritación, lávese cuidadosamente con jabón o con un limpiador propio para eliminar el irritante.</w:t>
      </w:r>
    </w:p>
    <w:p w:rsidR="00000000" w:rsidDel="00000000" w:rsidP="00000000" w:rsidRDefault="00000000" w:rsidRPr="00000000" w14:paraId="0000004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Tras el contacto visual: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Puede irritar los ojos si se suelda o se tritura. </w:t>
      </w:r>
    </w:p>
    <w:p w:rsidR="00000000" w:rsidDel="00000000" w:rsidP="00000000" w:rsidRDefault="00000000" w:rsidRPr="00000000" w14:paraId="00000044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Las partículas de polvo deben eliminarse lavando con agua limpia. Busque atención médica si la irritación persiste. </w:t>
      </w:r>
    </w:p>
    <w:p w:rsidR="00000000" w:rsidDel="00000000" w:rsidP="00000000" w:rsidRDefault="00000000" w:rsidRPr="00000000" w14:paraId="0000004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Tras la ingestión: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El producto no es comestible.  </w:t>
      </w:r>
    </w:p>
    <w:p w:rsidR="00000000" w:rsidDel="00000000" w:rsidP="00000000" w:rsidRDefault="00000000" w:rsidRPr="00000000" w14:paraId="0000004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4.2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Síntomas/lesiones:</w:t>
        <w:tab/>
      </w:r>
    </w:p>
    <w:p w:rsidR="00000000" w:rsidDel="00000000" w:rsidP="00000000" w:rsidRDefault="00000000" w:rsidRPr="00000000" w14:paraId="0000004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Ninguna. </w:t>
      </w:r>
    </w:p>
    <w:p w:rsidR="00000000" w:rsidDel="00000000" w:rsidP="00000000" w:rsidRDefault="00000000" w:rsidRPr="00000000" w14:paraId="00000049">
      <w:pPr>
        <w:tabs>
          <w:tab w:val="left" w:pos="360"/>
          <w:tab w:val="left" w:pos="1080"/>
        </w:tabs>
        <w:spacing w:after="0" w:line="240" w:lineRule="auto"/>
        <w:ind w:left="1080" w:hanging="108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4.3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Indicación de cualquier atención médica inmediata y tratamiento especial necesario: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Ninguna.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5.1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Medios de extinción adecuados: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Utilizar agentes extintores de clase D sobre el metal en polvo, en partículas finas o fundido. </w:t>
      </w:r>
    </w:p>
    <w:p w:rsidR="00000000" w:rsidDel="00000000" w:rsidP="00000000" w:rsidRDefault="00000000" w:rsidRPr="00000000" w14:paraId="0000005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Utilizar un chorro de agua gruesa en las virutas y esquirlas. </w:t>
        <w:tab/>
      </w:r>
    </w:p>
    <w:p w:rsidR="00000000" w:rsidDel="00000000" w:rsidP="00000000" w:rsidRDefault="00000000" w:rsidRPr="00000000" w14:paraId="0000005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Medios de extinción inadecuados: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0"/>
          <w:tab w:val="left" w:pos="1080"/>
        </w:tabs>
        <w:spacing w:after="0" w:line="240" w:lineRule="auto"/>
        <w:ind w:left="1080" w:hanging="108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UTILIZAR Agentes halogenados en </w:t>
        <w:tab/>
        <w:t xml:space="preserve">pequeñas virutas, polvos o partículas finas. El metal fundido y el agua pueden ser una combinación explosiva.</w:t>
      </w:r>
    </w:p>
    <w:p w:rsidR="00000000" w:rsidDel="00000000" w:rsidP="00000000" w:rsidRDefault="00000000" w:rsidRPr="00000000" w14:paraId="0000005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5.2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Peligro de incendio: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Este producto no presenta riesgo de incendio o explosión tal y como se envía. Las pequeñas virutas, las esquirlas, el polvo y las partículas finas del procesamiento pueden ser fácilmente inflamables.</w:t>
      </w:r>
    </w:p>
    <w:p w:rsidR="00000000" w:rsidDel="00000000" w:rsidP="00000000" w:rsidRDefault="00000000" w:rsidRPr="00000000" w14:paraId="00000056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situaciones de incendio, tenga cuidado con la baja visibilidad debida al hollín y evite la inhalación de humo. El humo contiene monóxido de carbono y otros gases que pueden ser perjudiciales para la salud si se inhalan.</w:t>
      </w:r>
    </w:p>
    <w:p w:rsidR="00000000" w:rsidDel="00000000" w:rsidP="00000000" w:rsidRDefault="00000000" w:rsidRPr="00000000" w14:paraId="0000005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Peligro de explosión: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Puede haber riesgo de explosión cuando: </w:t>
      </w:r>
    </w:p>
    <w:p w:rsidR="00000000" w:rsidDel="00000000" w:rsidP="00000000" w:rsidRDefault="00000000" w:rsidRPr="00000000" w14:paraId="00000059">
      <w:pPr>
        <w:tabs>
          <w:tab w:val="left" w:pos="360"/>
          <w:tab w:val="left" w:pos="1080"/>
        </w:tabs>
        <w:spacing w:after="0" w:line="240" w:lineRule="auto"/>
        <w:ind w:left="216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polvo o las partículas finas se dispersan en el aire. Incluso una pequeña nube de polvo puede explotar con violencia. </w:t>
      </w:r>
    </w:p>
    <w:p w:rsidR="00000000" w:rsidDel="00000000" w:rsidP="00000000" w:rsidRDefault="00000000" w:rsidRPr="00000000" w14:paraId="0000005A">
      <w:pPr>
        <w:tabs>
          <w:tab w:val="left" w:pos="360"/>
          <w:tab w:val="left" w:pos="1080"/>
        </w:tabs>
        <w:spacing w:after="0" w:line="240" w:lineRule="auto"/>
        <w:ind w:left="216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Las virutas, el polvo o las partículas finas en contacto con el agua pueden generar hidrógeno gaseoso inflamable/explosivo. El hidrógeno puede representar un peligro de explosión en lugares cerrados o espacios mal ventilados.</w:t>
      </w:r>
    </w:p>
    <w:p w:rsidR="00000000" w:rsidDel="00000000" w:rsidP="00000000" w:rsidRDefault="00000000" w:rsidRPr="00000000" w14:paraId="0000005B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polvo o las partículas finas en contacto con ciertos óxidos metálicos (por ejemplo, el óxido) pueden iniciar una reacción de termita.</w:t>
      </w:r>
    </w:p>
    <w:p w:rsidR="00000000" w:rsidDel="00000000" w:rsidP="00000000" w:rsidRDefault="00000000" w:rsidRPr="00000000" w14:paraId="0000005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metal fundido en contacto con el agua/humedad puede iniciar una reacción de termita.</w:t>
      </w:r>
    </w:p>
    <w:p w:rsidR="00000000" w:rsidDel="00000000" w:rsidP="00000000" w:rsidRDefault="00000000" w:rsidRPr="00000000" w14:paraId="0000005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Reactividad: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El metal fundido y el agua pueden ser una combinación explosiva.</w:t>
      </w:r>
    </w:p>
    <w:p w:rsidR="00000000" w:rsidDel="00000000" w:rsidP="00000000" w:rsidRDefault="00000000" w:rsidRPr="00000000" w14:paraId="000000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5.3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Medidas de precaución:</w:t>
        <w:tab/>
        <w:tab/>
      </w:r>
    </w:p>
    <w:p w:rsidR="00000000" w:rsidDel="00000000" w:rsidP="00000000" w:rsidRDefault="00000000" w:rsidRPr="00000000" w14:paraId="0000006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Los bomberos deben utilizar aparatos de respiración autónoma.</w:t>
      </w:r>
    </w:p>
    <w:p w:rsidR="00000000" w:rsidDel="00000000" w:rsidP="00000000" w:rsidRDefault="00000000" w:rsidRPr="00000000" w14:paraId="0000006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Instrucciones para la lucha contra el fuego:</w:t>
        <w:tab/>
        <w:tab/>
      </w:r>
    </w:p>
    <w:p w:rsidR="00000000" w:rsidDel="00000000" w:rsidP="00000000" w:rsidRDefault="00000000" w:rsidRPr="00000000" w14:paraId="0000006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utilice agua sobre el polvo. El agua produce amoníaco, metano e hidrógeno, que </w:t>
        <w:tab/>
        <w:tab/>
        <w:tab/>
        <w:t xml:space="preserve">son altamente inflamables.  </w:t>
      </w:r>
    </w:p>
    <w:p w:rsidR="00000000" w:rsidDel="00000000" w:rsidP="00000000" w:rsidRDefault="00000000" w:rsidRPr="00000000" w14:paraId="00000065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polvo de aluminio húmedo puede calentarse espontáneamente con liberación de hidrógeno para formar mezclas explosivas.</w:t>
      </w:r>
    </w:p>
    <w:p w:rsidR="00000000" w:rsidDel="00000000" w:rsidP="00000000" w:rsidRDefault="00000000" w:rsidRPr="00000000" w14:paraId="0000006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Protección durante la lucha contra el fuego: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bomberos deben llevar un equipo de respiración autónoma de presión positiva aprobado por NIOSH </w:t>
        <w:tab/>
        <w:t xml:space="preserve">y ropa de protección completa cuando sea apropiado.</w:t>
      </w:r>
    </w:p>
    <w:p w:rsidR="00000000" w:rsidDel="00000000" w:rsidP="00000000" w:rsidRDefault="00000000" w:rsidRPr="00000000" w14:paraId="0000006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Productos de combustión peligrosos:</w:t>
        <w:tab/>
      </w:r>
    </w:p>
    <w:p w:rsidR="00000000" w:rsidDel="00000000" w:rsidP="00000000" w:rsidRDefault="00000000" w:rsidRPr="00000000" w14:paraId="00000069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metal fundido y el agua pueden ser una combinación explosiva. El riesgo es mayor cuando hay suficiente metal fundido para atrapar o sellar el agua. Se conocen casos en los que el agua y otras formas de contaminación en la chatarra o en el lingote refundido son conocidos por haber causado explosiones en las operaciones de fusión.</w:t>
      </w:r>
    </w:p>
    <w:p w:rsidR="00000000" w:rsidDel="00000000" w:rsidP="00000000" w:rsidRDefault="00000000" w:rsidRPr="00000000" w14:paraId="0000006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Otras informaciones:</w:t>
        <w:tab/>
        <w:tab/>
        <w:tab/>
      </w:r>
    </w:p>
    <w:p w:rsidR="00000000" w:rsidDel="00000000" w:rsidP="00000000" w:rsidRDefault="00000000" w:rsidRPr="00000000" w14:paraId="0000006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Ninguna.</w:t>
      </w:r>
    </w:p>
    <w:p w:rsidR="00000000" w:rsidDel="00000000" w:rsidP="00000000" w:rsidRDefault="00000000" w:rsidRPr="00000000" w14:paraId="0000006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60"/>
          <w:tab w:val="left" w:pos="1080"/>
        </w:tabs>
        <w:spacing w:after="0" w:line="240" w:lineRule="auto"/>
        <w:ind w:left="1080" w:hanging="108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6.1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Precauciones personales, equipos de protección y procedimientos de emergencia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Este producto no presenta riesgo de incendio o explosión tal y como se envía.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Las pequeñas virutas, las esquirlas, el polvo y las partículas finas procedentes del procesamiento pueden ser fácilmente inflamables.</w:t>
      </w:r>
    </w:p>
    <w:p w:rsidR="00000000" w:rsidDel="00000000" w:rsidP="00000000" w:rsidRDefault="00000000" w:rsidRPr="00000000" w14:paraId="00000073">
      <w:pPr>
        <w:tabs>
          <w:tab w:val="left" w:pos="360"/>
          <w:tab w:val="left" w:pos="1080"/>
        </w:tabs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6.1.1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Para el personal que no es de emergencia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0"/>
          <w:tab w:val="left" w:pos="1080"/>
        </w:tabs>
        <w:spacing w:after="0" w:line="240" w:lineRule="auto"/>
        <w:ind w:left="21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metal fundido y el agua pueden ser una combinación explosiva. En situaciones de incendio, tenga cuidado con la baja visibilidad debida al hollín y evite la inhalación de humo. El humo contiene monóxido de carbono y otros gases que pueden ser perjudiciales para la salud si se inhalan.</w:t>
      </w:r>
    </w:p>
    <w:p w:rsidR="00000000" w:rsidDel="00000000" w:rsidP="00000000" w:rsidRDefault="00000000" w:rsidRPr="00000000" w14:paraId="00000075">
      <w:pPr>
        <w:tabs>
          <w:tab w:val="left" w:pos="360"/>
          <w:tab w:val="left" w:pos="1080"/>
        </w:tabs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6.1.2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Para el personal de emergencia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60"/>
          <w:tab w:val="left" w:pos="1080"/>
        </w:tabs>
        <w:spacing w:after="0" w:line="240" w:lineRule="auto"/>
        <w:ind w:left="21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bomberos deben usar equipos de respiración autónoma de presión positiva aprobados por NIOSH y ropa de protección completa cuando sea apropiado.</w:t>
      </w:r>
    </w:p>
    <w:p w:rsidR="00000000" w:rsidDel="00000000" w:rsidP="00000000" w:rsidRDefault="00000000" w:rsidRPr="00000000" w14:paraId="0000007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6.2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Precauciones medioambientales</w:t>
      </w:r>
    </w:p>
    <w:p w:rsidR="00000000" w:rsidDel="00000000" w:rsidP="00000000" w:rsidRDefault="00000000" w:rsidRPr="00000000" w14:paraId="00000078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metal fundido y el agua pueden ser una combinación explosiva. El riesgo es mayor cuando hay suficiente metal fundido para atrapar o sellar el agua. Se conocen casos en los que el agua y otras formas de contaminación en la chatarra o en el lingote refundido son conocidos por haber causado explosiones en las operaciones de fusión. </w:t>
      </w:r>
    </w:p>
    <w:p w:rsidR="00000000" w:rsidDel="00000000" w:rsidP="00000000" w:rsidRDefault="00000000" w:rsidRPr="00000000" w14:paraId="0000007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6.3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Métodos y materiales de contención y limpieza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Recoger la chatarra para reciclarla. </w:t>
      </w:r>
    </w:p>
    <w:p w:rsidR="00000000" w:rsidDel="00000000" w:rsidP="00000000" w:rsidRDefault="00000000" w:rsidRPr="00000000" w14:paraId="0000007B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 está fundido:  Contener el flujo utilizando arena seca o fundente salino como dique. No utilizar palas ni herramientas manuales para detener el flujo de aluminio fundido. Dejar que el derrame se enfríe antes de volver a fundirlo como chatarra. El metal fundido y el agua pueden ser una combinación explosiva. El riesgo es mayor cuando hay suficiente metal fundido para atrapar o sellar el agua. </w:t>
      </w:r>
    </w:p>
    <w:p w:rsidR="00000000" w:rsidDel="00000000" w:rsidP="00000000" w:rsidRDefault="00000000" w:rsidRPr="00000000" w14:paraId="0000007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7.1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Manipulación: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Evitar la generación de polvo. No permitir que las virutas, las partículas finas o el polvo entren en contacto con el agua, especialmente en áreas cerradas.</w:t>
      </w:r>
    </w:p>
    <w:p w:rsidR="00000000" w:rsidDel="00000000" w:rsidP="00000000" w:rsidRDefault="00000000" w:rsidRPr="00000000" w14:paraId="0000008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Evite el contacto con los bordes afilados o el metal caliente. </w:t>
      </w:r>
    </w:p>
    <w:p w:rsidR="00000000" w:rsidDel="00000000" w:rsidP="00000000" w:rsidRDefault="00000000" w:rsidRPr="00000000" w14:paraId="0000008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El aluminio caliente y el frío no son diferentes visualmente.</w:t>
      </w:r>
    </w:p>
    <w:p w:rsidR="00000000" w:rsidDel="00000000" w:rsidP="00000000" w:rsidRDefault="00000000" w:rsidRPr="00000000" w14:paraId="0000008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7.2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Almacenamiento: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Entregue los materiales y componentes en los envases o paquetes sin abrir del fabricante, totalmente identificados por nombre, marca, tipo y grado. </w:t>
      </w:r>
    </w:p>
    <w:p w:rsidR="00000000" w:rsidDel="00000000" w:rsidP="00000000" w:rsidRDefault="00000000" w:rsidRPr="00000000" w14:paraId="0000008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Evite los daños durante la descarga, el almacenamiento y la instalación. </w:t>
      </w:r>
    </w:p>
    <w:p w:rsidR="00000000" w:rsidDel="00000000" w:rsidP="00000000" w:rsidRDefault="00000000" w:rsidRPr="00000000" w14:paraId="00000087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Almacene, proteja y manipule los materiales y componentes para evitar torceduras, dobleces, daños mecánicos, contaminación y deterioro. </w:t>
      </w:r>
    </w:p>
    <w:p w:rsidR="00000000" w:rsidDel="00000000" w:rsidP="00000000" w:rsidRDefault="00000000" w:rsidRPr="00000000" w14:paraId="00000088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Almacene los materiales fuera del suelo y manténgalos limpios, secos y libres de suciedad y otras partículas extrañas. </w:t>
      </w:r>
    </w:p>
    <w:p w:rsidR="00000000" w:rsidDel="00000000" w:rsidP="00000000" w:rsidRDefault="00000000" w:rsidRPr="00000000" w14:paraId="0000008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7.3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Uso: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p w:rsidR="00000000" w:rsidDel="00000000" w:rsidP="00000000" w:rsidRDefault="00000000" w:rsidRPr="00000000" w14:paraId="0000008A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revestimiento de aluminio debe estar separado del contacto directo con metales distintos.</w:t>
      </w:r>
    </w:p>
    <w:p w:rsidR="00000000" w:rsidDel="00000000" w:rsidP="00000000" w:rsidRDefault="00000000" w:rsidRPr="00000000" w14:paraId="0000008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8.1</w:t>
        <w:tab/>
        <w:t xml:space="preserve">Para las sustancias enumeradas en la Sección 3 que no figuran en esta lista, no existen límites de exposición establecidos por el fabricante, el proveedor, el importador o la agencia asesora correspondiente, incluyendo: ACGIH (TLV), AIHA (WEEL), NIOSH (REL), o OSHA (PEL).</w:t>
      </w:r>
    </w:p>
    <w:p w:rsidR="00000000" w:rsidDel="00000000" w:rsidP="00000000" w:rsidRDefault="00000000" w:rsidRPr="00000000" w14:paraId="0000009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Layout w:type="fixed"/>
        <w:tblLook w:val="0400"/>
      </w:tblPr>
      <w:tblGrid>
        <w:gridCol w:w="2584"/>
        <w:gridCol w:w="1103"/>
        <w:gridCol w:w="1888"/>
        <w:gridCol w:w="1887"/>
        <w:gridCol w:w="1888"/>
        <w:tblGridChange w:id="0">
          <w:tblGrid>
            <w:gridCol w:w="2584"/>
            <w:gridCol w:w="1103"/>
            <w:gridCol w:w="1888"/>
            <w:gridCol w:w="1887"/>
            <w:gridCol w:w="1888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Sustancia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Límites reglamentarios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Límites recomendados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OSHA 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Cal/OSHA 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NIOSH 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ACGIH 2019 TLV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360"/>
                <w:tab w:val="left" w:pos="108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mg/m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Techo STEL de 8 horas TWS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Hasta 10 horas de techo TWA STEL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Techo TWA STEL de 8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360"/>
                <w:tab w:val="left" w:pos="10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Aluminio metálico: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Polvo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360"/>
                <w:tab w:val="left" w:pos="108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Fracción respirable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360"/>
                <w:tab w:val="left" w:pos="10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Chromium  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(como Cr VI, compuestos inorgánicos y algunos insolubles en agua)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0,0025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0,0025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0,001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0,01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360"/>
                <w:tab w:val="left" w:pos="10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Hierro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(como humo de óxido de hierro)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(como polvo y humo de óxido de hierro)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5,0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(como polvo y humo de óxido de hierro)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5,0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(como polvo y humo de óxido de hierro)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360"/>
                <w:tab w:val="left" w:pos="10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Manganeso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(C)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0,2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  <w:vertAlign w:val="superscript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(ST) 3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0,02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(resp.)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0,1 mg/m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(IHL) (para compuestos elementales e inorgánicos)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8.2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Controles de ingeniería apropiados:</w:t>
      </w:r>
    </w:p>
    <w:p w:rsidR="00000000" w:rsidDel="00000000" w:rsidP="00000000" w:rsidRDefault="00000000" w:rsidRPr="00000000" w14:paraId="000000C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Utilizar con una ventilación adecuada.  </w:t>
      </w:r>
    </w:p>
    <w:p w:rsidR="00000000" w:rsidDel="00000000" w:rsidP="00000000" w:rsidRDefault="00000000" w:rsidRPr="00000000" w14:paraId="000000C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8.3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Medidas de protección individual</w:t>
      </w:r>
    </w:p>
    <w:p w:rsidR="00000000" w:rsidDel="00000000" w:rsidP="00000000" w:rsidRDefault="00000000" w:rsidRPr="00000000" w14:paraId="000000C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Inhalación: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El polvo no suele ser un peligro a menos que se utilice el corte mecánico. </w:t>
      </w:r>
    </w:p>
    <w:p w:rsidR="00000000" w:rsidDel="00000000" w:rsidP="00000000" w:rsidRDefault="00000000" w:rsidRPr="00000000" w14:paraId="000000CA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Cuando se genere polvo en espacios confinados, se recomienda usar extracción. Al igual que con todos los procedimientos de corte, se recomienda utilizar protección para los ojos y una máscara antipolvo desechable. </w:t>
      </w:r>
    </w:p>
    <w:p w:rsidR="00000000" w:rsidDel="00000000" w:rsidP="00000000" w:rsidRDefault="00000000" w:rsidRPr="00000000" w14:paraId="000000C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Se recomienda que cuando se realice el corte no mecánico se corte el producto </w:t>
        <w:tab/>
        <w:tab/>
        <w:tab/>
        <w:t xml:space="preserve">con una cuchilla para minimizar la generación de polvo. </w:t>
      </w:r>
    </w:p>
    <w:p w:rsidR="00000000" w:rsidDel="00000000" w:rsidP="00000000" w:rsidRDefault="00000000" w:rsidRPr="00000000" w14:paraId="000000C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Manos: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Se recomienda el uso de guantes para manipular el producto. </w:t>
      </w:r>
    </w:p>
    <w:p w:rsidR="00000000" w:rsidDel="00000000" w:rsidP="00000000" w:rsidRDefault="00000000" w:rsidRPr="00000000" w14:paraId="000000C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Ojos:</w:t>
        <w:tab/>
        <w:tab/>
      </w:r>
    </w:p>
    <w:p w:rsidR="00000000" w:rsidDel="00000000" w:rsidP="00000000" w:rsidRDefault="00000000" w:rsidRPr="00000000" w14:paraId="000000CF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 igual que con todos los procedimientos de corte, se recomienda utilizar protección para los ojos. </w:t>
      </w:r>
    </w:p>
    <w:p w:rsidR="00000000" w:rsidDel="00000000" w:rsidP="00000000" w:rsidRDefault="00000000" w:rsidRPr="00000000" w14:paraId="000000D0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Cuando se instala el producto en un clima muy luminoso o soleado, es aconsejable usar gafas de sol o de protección  contra rayos UV. </w:t>
      </w:r>
    </w:p>
    <w:p w:rsidR="00000000" w:rsidDel="00000000" w:rsidP="00000000" w:rsidRDefault="00000000" w:rsidRPr="00000000" w14:paraId="000000D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Piel: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Debido a las superficies reflectantes del producto, cuando se instala en un clima muy luminoso o soleado, se aconseja aplicar una crema solar con protección UV adecuada.</w:t>
      </w:r>
    </w:p>
    <w:p w:rsidR="00000000" w:rsidDel="00000000" w:rsidP="00000000" w:rsidRDefault="00000000" w:rsidRPr="00000000" w14:paraId="000000D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Otros: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revestimiento reflectante que a veces se utiliza en los paneles AL13</w:t>
      </w:r>
      <w:r w:rsidDel="00000000" w:rsidR="00000000" w:rsidRPr="00000000">
        <w:rPr>
          <w:rFonts w:ascii="Helvetica Neue" w:cs="Helvetica Neue" w:eastAsia="Helvetica Neue" w:hAnsi="Helvetica Neue"/>
          <w:vertAlign w:val="sub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puede ser resbaladizo cuando está mojado. Por lo tanto, se recomienda contener cualquier exceso de material para evitar el peligro de resbalones. </w:t>
      </w:r>
    </w:p>
    <w:p w:rsidR="00000000" w:rsidDel="00000000" w:rsidP="00000000" w:rsidRDefault="00000000" w:rsidRPr="00000000" w14:paraId="000000D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9.1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Estado físico: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Sólido</w:t>
      </w:r>
    </w:p>
    <w:p w:rsidR="00000000" w:rsidDel="00000000" w:rsidP="00000000" w:rsidRDefault="00000000" w:rsidRPr="00000000" w14:paraId="000000D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Apariencia: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Aluminio con diferentes colores/acabados y perfiles</w:t>
        <w:tab/>
      </w:r>
    </w:p>
    <w:p w:rsidR="00000000" w:rsidDel="00000000" w:rsidP="00000000" w:rsidRDefault="00000000" w:rsidRPr="00000000" w14:paraId="000000D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Olor: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Insignificante</w:t>
        <w:tab/>
        <w:tab/>
        <w:tab/>
      </w:r>
    </w:p>
    <w:p w:rsidR="00000000" w:rsidDel="00000000" w:rsidP="00000000" w:rsidRDefault="00000000" w:rsidRPr="00000000" w14:paraId="000000D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Umbral de olor: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  <w:tab/>
      </w:r>
    </w:p>
    <w:p w:rsidR="00000000" w:rsidDel="00000000" w:rsidP="00000000" w:rsidRDefault="00000000" w:rsidRPr="00000000" w14:paraId="000000D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pH: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Neutro</w:t>
        <w:tab/>
        <w:tab/>
        <w:tab/>
        <w:tab/>
      </w:r>
    </w:p>
    <w:p w:rsidR="00000000" w:rsidDel="00000000" w:rsidP="00000000" w:rsidRDefault="00000000" w:rsidRPr="00000000" w14:paraId="000000D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Tasa de evaporación: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  <w:tab/>
        <w:tab/>
        <w:tab/>
      </w:r>
    </w:p>
    <w:p w:rsidR="00000000" w:rsidDel="00000000" w:rsidP="00000000" w:rsidRDefault="00000000" w:rsidRPr="00000000" w14:paraId="000000D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Punto de fusión: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Aluminio: 660°C [1220°F]</w:t>
        <w:tab/>
      </w:r>
    </w:p>
    <w:p w:rsidR="00000000" w:rsidDel="00000000" w:rsidP="00000000" w:rsidRDefault="00000000" w:rsidRPr="00000000" w14:paraId="000000E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Punto de congelación: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  <w:tab/>
        <w:tab/>
        <w:tab/>
      </w:r>
    </w:p>
    <w:p w:rsidR="00000000" w:rsidDel="00000000" w:rsidP="00000000" w:rsidRDefault="00000000" w:rsidRPr="00000000" w14:paraId="000000E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Punto de ebullición: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  <w:tab/>
        <w:tab/>
        <w:tab/>
      </w:r>
    </w:p>
    <w:p w:rsidR="00000000" w:rsidDel="00000000" w:rsidP="00000000" w:rsidRDefault="00000000" w:rsidRPr="00000000" w14:paraId="000000E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Punto de inflamación: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</w:r>
    </w:p>
    <w:p w:rsidR="00000000" w:rsidDel="00000000" w:rsidP="00000000" w:rsidRDefault="00000000" w:rsidRPr="00000000" w14:paraId="000000E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Temperatura de autoignición: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Temperatura de descomposición: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No aplica</w:t>
        <w:tab/>
        <w:tab/>
        <w:tab/>
        <w:tab/>
      </w:r>
    </w:p>
    <w:p w:rsidR="00000000" w:rsidDel="00000000" w:rsidP="00000000" w:rsidRDefault="00000000" w:rsidRPr="00000000" w14:paraId="000000E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Inflamabilidad (sólido, gas):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  <w:tab/>
        <w:tab/>
        <w:tab/>
      </w:r>
    </w:p>
    <w:p w:rsidR="00000000" w:rsidDel="00000000" w:rsidP="00000000" w:rsidRDefault="00000000" w:rsidRPr="00000000" w14:paraId="000000E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Presión de vapor: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  <w:tab/>
        <w:tab/>
        <w:tab/>
        <w:tab/>
      </w:r>
    </w:p>
    <w:p w:rsidR="00000000" w:rsidDel="00000000" w:rsidP="00000000" w:rsidRDefault="00000000" w:rsidRPr="00000000" w14:paraId="000000E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Densidad de vapor relativa </w:t>
        <w:tab/>
        <w:tab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a 20° C: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ab/>
        <w:t xml:space="preserve">No aplica</w:t>
      </w:r>
    </w:p>
    <w:p w:rsidR="00000000" w:rsidDel="00000000" w:rsidP="00000000" w:rsidRDefault="00000000" w:rsidRPr="00000000" w14:paraId="000000E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Densidad relativa: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aplica</w:t>
        <w:tab/>
        <w:tab/>
      </w:r>
    </w:p>
    <w:p w:rsidR="00000000" w:rsidDel="00000000" w:rsidP="00000000" w:rsidRDefault="00000000" w:rsidRPr="00000000" w14:paraId="000000E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Gravedad específica: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2,72</w:t>
      </w:r>
    </w:p>
    <w:p w:rsidR="00000000" w:rsidDel="00000000" w:rsidP="00000000" w:rsidRDefault="00000000" w:rsidRPr="00000000" w14:paraId="000000E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Solubilidad: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No aplica</w:t>
        <w:tab/>
        <w:tab/>
        <w:tab/>
        <w:tab/>
      </w:r>
    </w:p>
    <w:p w:rsidR="00000000" w:rsidDel="00000000" w:rsidP="00000000" w:rsidRDefault="00000000" w:rsidRPr="00000000" w14:paraId="000000E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</w:p>
    <w:p w:rsidR="00000000" w:rsidDel="00000000" w:rsidP="00000000" w:rsidRDefault="00000000" w:rsidRPr="00000000" w14:paraId="000000E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</w:p>
    <w:p w:rsidR="00000000" w:rsidDel="00000000" w:rsidP="00000000" w:rsidRDefault="00000000" w:rsidRPr="00000000" w14:paraId="000000E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Coeficiente de reparto </w:t>
      </w:r>
    </w:p>
    <w:p w:rsidR="00000000" w:rsidDel="00000000" w:rsidP="00000000" w:rsidRDefault="00000000" w:rsidRPr="00000000" w14:paraId="000000E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N-Octanol/Agua: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No aplica</w:t>
      </w:r>
    </w:p>
    <w:p w:rsidR="00000000" w:rsidDel="00000000" w:rsidP="00000000" w:rsidRDefault="00000000" w:rsidRPr="00000000" w14:paraId="000000F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Viscosidad: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No aplica</w:t>
        <w:tab/>
        <w:tab/>
        <w:tab/>
      </w:r>
    </w:p>
    <w:p w:rsidR="00000000" w:rsidDel="00000000" w:rsidP="00000000" w:rsidRDefault="00000000" w:rsidRPr="00000000" w14:paraId="000000F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Otros datos: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ab/>
        <w:t xml:space="preserve">Ninguno</w:t>
      </w:r>
    </w:p>
    <w:p w:rsidR="00000000" w:rsidDel="00000000" w:rsidP="00000000" w:rsidRDefault="00000000" w:rsidRPr="00000000" w14:paraId="000000F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Reactividad: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Estable y sin reacción durante el uso normal. </w:t>
        <w:tab/>
      </w:r>
    </w:p>
    <w:p w:rsidR="00000000" w:rsidDel="00000000" w:rsidP="00000000" w:rsidRDefault="00000000" w:rsidRPr="00000000" w14:paraId="000000F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Estabilidad química: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</w:r>
    </w:p>
    <w:p w:rsidR="00000000" w:rsidDel="00000000" w:rsidP="00000000" w:rsidRDefault="00000000" w:rsidRPr="00000000" w14:paraId="000000F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10.3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Posibilidad de reacciones peligrosas: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Este producto no presenta riesgo de incendio o explosión tal y como se envía.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Las pequeñas virutas, las esquirlas, el polvo y las partículas finas procedentes del procesamiento pueden ser fácilmente inflamables.</w:t>
      </w:r>
    </w:p>
    <w:p w:rsidR="00000000" w:rsidDel="00000000" w:rsidP="00000000" w:rsidRDefault="00000000" w:rsidRPr="00000000" w14:paraId="000000F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10.4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Condiciones a evitar: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metal fundido y el agua pueden ser una combinación explosiva. El riesgo es mayor cuando hay suficiente metal fundido para atrapar o sellar el agua. Se conocen casos en los que el agua y otras formas de contaminación en la chatarra o en el lingote refundido son conocidos por haber causado explosiones en las operaciones de fusión. </w:t>
        <w:tab/>
      </w:r>
    </w:p>
    <w:p w:rsidR="00000000" w:rsidDel="00000000" w:rsidP="00000000" w:rsidRDefault="00000000" w:rsidRPr="00000000" w14:paraId="000000F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10.5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Materiales incompatibles: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  <w:tab/>
        <w:tab/>
      </w:r>
    </w:p>
    <w:p w:rsidR="00000000" w:rsidDel="00000000" w:rsidP="00000000" w:rsidRDefault="00000000" w:rsidRPr="00000000" w14:paraId="0000010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10.6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Productos de descomposición peligrosos:</w:t>
      </w:r>
    </w:p>
    <w:p w:rsidR="00000000" w:rsidDel="00000000" w:rsidP="00000000" w:rsidRDefault="00000000" w:rsidRPr="00000000" w14:paraId="0000010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 aplica</w:t>
      </w:r>
    </w:p>
    <w:p w:rsidR="00000000" w:rsidDel="00000000" w:rsidP="00000000" w:rsidRDefault="00000000" w:rsidRPr="00000000" w14:paraId="0000010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11.1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Toxicidad aguda: </w:t>
      </w:r>
    </w:p>
    <w:p w:rsidR="00000000" w:rsidDel="00000000" w:rsidP="00000000" w:rsidRDefault="00000000" w:rsidRPr="00000000" w14:paraId="00000108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aguda al polvo o al humo de plomo puede provocar náuseas y calambres musculares. </w:t>
      </w:r>
    </w:p>
    <w:p w:rsidR="00000000" w:rsidDel="00000000" w:rsidP="00000000" w:rsidRDefault="00000000" w:rsidRPr="00000000" w14:paraId="0000010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Corrosión/Irritación de la piel:</w:t>
        <w:tab/>
        <w:tab/>
      </w:r>
    </w:p>
    <w:p w:rsidR="00000000" w:rsidDel="00000000" w:rsidP="00000000" w:rsidRDefault="00000000" w:rsidRPr="00000000" w14:paraId="0000010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El polvo de aluminio, polvo de cromo, cromo hexavalente y polvo de plomo </w:t>
        <w:tab/>
        <w:tab/>
        <w:tab/>
        <w:tab/>
        <w:t xml:space="preserve">pueden causar irritación. </w:t>
      </w:r>
    </w:p>
    <w:p w:rsidR="00000000" w:rsidDel="00000000" w:rsidP="00000000" w:rsidRDefault="00000000" w:rsidRPr="00000000" w14:paraId="0000010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El cromo hexavalente puede causar dermatitis irritante, reacciones alérgicas y </w:t>
        <w:tab/>
        <w:tab/>
        <w:tab/>
        <w:tab/>
        <w:t xml:space="preserve">úlceras. </w:t>
      </w:r>
    </w:p>
    <w:p w:rsidR="00000000" w:rsidDel="00000000" w:rsidP="00000000" w:rsidRDefault="00000000" w:rsidRPr="00000000" w14:paraId="0000010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pH:</w:t>
        <w:tab/>
      </w:r>
    </w:p>
    <w:p w:rsidR="00000000" w:rsidDel="00000000" w:rsidP="00000000" w:rsidRDefault="00000000" w:rsidRPr="00000000" w14:paraId="0000010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Neutro</w:t>
      </w:r>
    </w:p>
    <w:p w:rsidR="00000000" w:rsidDel="00000000" w:rsidP="00000000" w:rsidRDefault="00000000" w:rsidRPr="00000000" w14:paraId="0000010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Sensibilización respiratoria o cutánea: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El polvo de aluminio, polvo de cromo, cromo hexavalente y polvo de plomo </w:t>
        <w:tab/>
        <w:tab/>
        <w:tab/>
        <w:tab/>
        <w:t xml:space="preserve">pueden causar irritación.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Mutagenicidad en células germinales: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de manganeso de los humos puede causar daños en la reproducción en los hombres. </w:t>
      </w:r>
    </w:p>
    <w:p w:rsidR="00000000" w:rsidDel="00000000" w:rsidP="00000000" w:rsidRDefault="00000000" w:rsidRPr="00000000" w14:paraId="00000112">
      <w:pPr>
        <w:tabs>
          <w:tab w:val="left" w:pos="360"/>
          <w:tab w:val="left" w:pos="1080"/>
        </w:tabs>
        <w:spacing w:after="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o al humo de plomo puede causar una reducción de la fertilidad y toxicidad fetal en mujeres embarazadas. </w:t>
      </w:r>
    </w:p>
    <w:p w:rsidR="00000000" w:rsidDel="00000000" w:rsidP="00000000" w:rsidRDefault="00000000" w:rsidRPr="00000000" w14:paraId="0000011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Carcinogenicidad: </w:t>
      </w:r>
    </w:p>
    <w:p w:rsidR="00000000" w:rsidDel="00000000" w:rsidP="00000000" w:rsidRDefault="00000000" w:rsidRPr="00000000" w14:paraId="00000117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cromo hexavalente puede causar cáncer de pulmón, cáncer nasal, y cáncer del tracto gastrointestinal. </w:t>
      </w:r>
    </w:p>
    <w:p w:rsidR="00000000" w:rsidDel="00000000" w:rsidP="00000000" w:rsidRDefault="00000000" w:rsidRPr="00000000" w14:paraId="0000011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Toxicidad para la reproducción:</w:t>
        <w:tab/>
        <w:tab/>
        <w:tab/>
      </w:r>
    </w:p>
    <w:p w:rsidR="00000000" w:rsidDel="00000000" w:rsidP="00000000" w:rsidRDefault="00000000" w:rsidRPr="00000000" w14:paraId="00000119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de manganeso de los humos puede causar daños en la reproducción en los hombres. </w:t>
      </w:r>
    </w:p>
    <w:p w:rsidR="00000000" w:rsidDel="00000000" w:rsidP="00000000" w:rsidRDefault="00000000" w:rsidRPr="00000000" w14:paraId="0000011A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o al humo de plomo puede causar una reducción de la fertilidad y toxicidad fetal en mujeres embarazadas. </w:t>
      </w:r>
    </w:p>
    <w:p w:rsidR="00000000" w:rsidDel="00000000" w:rsidP="00000000" w:rsidRDefault="00000000" w:rsidRPr="00000000" w14:paraId="0000011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Toxicidad específica en órganos diana (exposición única):</w:t>
        <w:tab/>
        <w:tab/>
        <w:t xml:space="preserve"> </w:t>
      </w:r>
    </w:p>
    <w:p w:rsidR="00000000" w:rsidDel="00000000" w:rsidP="00000000" w:rsidRDefault="00000000" w:rsidRPr="00000000" w14:paraId="0000011C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aguda al polvo o al humo de plomo puede provocar náuseas y calambres musculares. </w:t>
      </w:r>
    </w:p>
    <w:p w:rsidR="00000000" w:rsidDel="00000000" w:rsidP="00000000" w:rsidRDefault="00000000" w:rsidRPr="00000000" w14:paraId="0000011D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aguda al sílice amorfo puede causar sequedad de ojos, nariz y las vías respiratorias superiores. </w:t>
      </w:r>
    </w:p>
    <w:p w:rsidR="00000000" w:rsidDel="00000000" w:rsidP="00000000" w:rsidRDefault="00000000" w:rsidRPr="00000000" w14:paraId="0000011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Toxicidad específica en órganos diana (exposición repetida): </w:t>
        <w:tab/>
        <w:tab/>
      </w:r>
    </w:p>
    <w:p w:rsidR="00000000" w:rsidDel="00000000" w:rsidP="00000000" w:rsidRDefault="00000000" w:rsidRPr="00000000" w14:paraId="0000011F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o a los humos de manganeso puede causar inflamación del tejido pulmonar, cicatrización de los pulmones (fibrosis pulmonar), daños en el sistema nervioso central, enfermedad de Parkinson secundaria y daños reproductivos en los hombres.   </w:t>
      </w:r>
    </w:p>
    <w:p w:rsidR="00000000" w:rsidDel="00000000" w:rsidP="00000000" w:rsidRDefault="00000000" w:rsidRPr="00000000" w14:paraId="00000120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cromo hexavalente puede provocar la perforación del tabique nasal, sensibilización respiratoria, asma, líquido en los pulmones (edema pulmonar), daños pulmonares y daños renales.  </w:t>
      </w:r>
    </w:p>
    <w:p w:rsidR="00000000" w:rsidDel="00000000" w:rsidP="00000000" w:rsidRDefault="00000000" w:rsidRPr="00000000" w14:paraId="00000121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sobreexposición crónica al polvo de plomo o al humo puede causar debilidad en las extremidades (neuropatía periférica), calambres abdominales y otros efectos en el tracto gastrointestinal, daños en los riñones, daños en el hígado, daños en el sistema nervioso central, daños en los órganos formadores de sangre y daños en las células sanguíneas.</w:t>
      </w:r>
    </w:p>
    <w:p w:rsidR="00000000" w:rsidDel="00000000" w:rsidP="00000000" w:rsidRDefault="00000000" w:rsidRPr="00000000" w14:paraId="0000012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Tras la ingestión:</w:t>
        <w:tab/>
        <w:tab/>
        <w:tab/>
        <w:tab/>
      </w:r>
    </w:p>
    <w:p w:rsidR="00000000" w:rsidDel="00000000" w:rsidP="00000000" w:rsidRDefault="00000000" w:rsidRPr="00000000" w14:paraId="0000012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No hay información en este momento. </w:t>
      </w:r>
    </w:p>
    <w:p w:rsidR="00000000" w:rsidDel="00000000" w:rsidP="00000000" w:rsidRDefault="00000000" w:rsidRPr="00000000" w14:paraId="0000012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ingestión de antimonio y trióxido de antimonio puede provocar calambres abdominales, diarrea, mareos, ritmo cardíaco anormal (arritmia) y la muerte.</w:t>
      </w:r>
    </w:p>
    <w:p w:rsidR="00000000" w:rsidDel="00000000" w:rsidP="00000000" w:rsidRDefault="00000000" w:rsidRPr="00000000" w14:paraId="0000012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12.1</w:t>
        <w:tab/>
        <w:t xml:space="preserve">No hay información en este momento. </w:t>
      </w:r>
    </w:p>
    <w:p w:rsidR="00000000" w:rsidDel="00000000" w:rsidP="00000000" w:rsidRDefault="00000000" w:rsidRPr="00000000" w14:paraId="0000012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p w:rsidR="00000000" w:rsidDel="00000000" w:rsidP="00000000" w:rsidRDefault="00000000" w:rsidRPr="00000000" w14:paraId="0000012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13.1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Recomendaciones para la eliminación de residuos:</w:t>
        <w:tab/>
      </w:r>
    </w:p>
    <w:p w:rsidR="00000000" w:rsidDel="00000000" w:rsidP="00000000" w:rsidRDefault="00000000" w:rsidRPr="00000000" w14:paraId="0000012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Recoger y recuperar o eliminar en un vertedero autorizado. </w:t>
        <w:tab/>
        <w:tab/>
        <w:tab/>
        <w:tab/>
        <w:tab/>
        <w:tab/>
        <w:t xml:space="preserve">Eliminar de acuerdo con la normativa vigente. </w:t>
      </w:r>
    </w:p>
    <w:p w:rsidR="00000000" w:rsidDel="00000000" w:rsidP="00000000" w:rsidRDefault="00000000" w:rsidRPr="00000000" w14:paraId="0000012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Información adicional:</w:t>
        <w:tab/>
        <w:tab/>
        <w:tab/>
      </w:r>
    </w:p>
    <w:p w:rsidR="00000000" w:rsidDel="00000000" w:rsidP="00000000" w:rsidRDefault="00000000" w:rsidRPr="00000000" w14:paraId="0000012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  <w:t xml:space="preserve">Eliminar los materiales contaminados de acuerdo con la normativa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Ecología - Materiales de desecho:</w:t>
        <w:tab/>
        <w:tab/>
      </w:r>
    </w:p>
    <w:p w:rsidR="00000000" w:rsidDel="00000000" w:rsidP="00000000" w:rsidRDefault="00000000" w:rsidRPr="00000000" w14:paraId="00000131">
      <w:pPr>
        <w:tabs>
          <w:tab w:val="left" w:pos="360"/>
          <w:tab w:val="left" w:pos="1080"/>
        </w:tabs>
        <w:spacing w:after="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envases vacíos deben llevarse a un sitio de manipulación de residuos aprobado para su reciclaje o eliminación.</w:t>
      </w:r>
    </w:p>
    <w:p w:rsidR="00000000" w:rsidDel="00000000" w:rsidP="00000000" w:rsidRDefault="00000000" w:rsidRPr="00000000" w14:paraId="0000013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14.1</w:t>
        <w:tab/>
        <w:t xml:space="preserve">No hay información en este momento. </w:t>
      </w:r>
    </w:p>
    <w:p w:rsidR="00000000" w:rsidDel="00000000" w:rsidP="00000000" w:rsidRDefault="00000000" w:rsidRPr="00000000" w14:paraId="00000137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p w:rsidR="00000000" w:rsidDel="00000000" w:rsidP="00000000" w:rsidRDefault="00000000" w:rsidRPr="00000000" w14:paraId="0000013B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15.1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Normas de seguridad, salud y medio ambiente: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360"/>
          <w:tab w:val="left" w:pos="1080"/>
        </w:tabs>
        <w:spacing w:after="12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Este producto puede estar regulado, tener límites de exposición u otra información identificada como Compuestos de cromo (III); Compuestos de cromo (VI) (determinadas formas </w:t>
        <w:tab/>
        <w:tab/>
        <w:tab/>
        <w:t xml:space="preserve">insolubles en agua); Compuestos de cromo (VI), solubles en agua; Cromatos; Cromato de plomo; Compuestos de manganeso, n.e.p.</w:t>
      </w:r>
    </w:p>
    <w:p w:rsidR="00000000" w:rsidDel="00000000" w:rsidP="00000000" w:rsidRDefault="00000000" w:rsidRPr="00000000" w14:paraId="0000013D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15.2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Proposición 65: (Sólo en California)</w:t>
      </w:r>
    </w:p>
    <w:p w:rsidR="00000000" w:rsidDel="00000000" w:rsidP="00000000" w:rsidRDefault="00000000" w:rsidRPr="00000000" w14:paraId="0000013E">
      <w:pPr>
        <w:tabs>
          <w:tab w:val="left" w:pos="360"/>
          <w:tab w:val="left" w:pos="1080"/>
        </w:tabs>
        <w:spacing w:after="120" w:line="240" w:lineRule="auto"/>
        <w:ind w:left="144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Requisitos adicionales para el Estado de California: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¡ADVERTENCIA!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Este producto puede exponerle a sustancias químicas, incluido el etilbenceno, que el Estado de California sabe que causa cáncer. Para más información, visite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rtl w:val="0"/>
          </w:rPr>
          <w:t xml:space="preserve">www.P65Warnings.ca.gov.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13F">
      <w:pPr>
        <w:tabs>
          <w:tab w:val="left" w:pos="360"/>
          <w:tab w:val="left" w:pos="1080"/>
        </w:tabs>
        <w:spacing w:after="120" w:line="240" w:lineRule="auto"/>
        <w:ind w:left="108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16.1</w:t>
        <w:tab/>
        <w:t xml:space="preserve">Este documento se ha elaborado de acuerdo con los requisitos de la FDS de la </w:t>
        <w:tab/>
        <w:tab/>
        <w:tab/>
        <w:t xml:space="preserve">Norma de comunicación de riesgos de la OSHA 29 CFR 1910.1200</w:t>
      </w:r>
    </w:p>
    <w:p w:rsidR="00000000" w:rsidDel="00000000" w:rsidP="00000000" w:rsidRDefault="00000000" w:rsidRPr="00000000" w14:paraId="0000014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360"/>
          <w:tab w:val="left" w:pos="1080"/>
        </w:tabs>
        <w:spacing w:after="0"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ab/>
        <w:tab/>
        <w:t xml:space="preserve">Fecha de elaboración: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Noviembre de 2019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dug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77B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E44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65warnings.ca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h7i6eERq364nLJ9pP9ECsQgsQ==">AMUW2mWlM5C1Dy//OixBcJwfAf9ekZejwxATkJKXAXz8wmt7KRXeGFKD6PEDodfeTOJyhfg8YuOuBm0u7kWZbU2soeYj+QsBwLYIF1ER0YbRNInUVUTtYWQ=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2022-10-26T20:05:00Z</dcterms:created>
  <dc:creator>Emily Stonnell</dc:creator>
</cp:coreProperties>
</file>